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973D76" w:rsidRDefault="00E96762" w:rsidP="00B5147C">
      <w:pPr>
        <w:tabs>
          <w:tab w:val="right" w:leader="hyphen" w:pos="8931"/>
        </w:tabs>
        <w:spacing w:after="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73D7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34442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344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B71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Kendor Gregorio Mac</w:t>
                            </w:r>
                            <w:r w:rsidR="00984A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 Martínez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Comisión </w:t>
                            </w:r>
                            <w:r w:rsidR="00B712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Nacional de Justicia Partidaria del Partido Revolucionario Institucional</w:t>
                            </w:r>
                            <w:r w:rsidR="006767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84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B7125F">
                        <w:rPr>
                          <w:rFonts w:ascii="Arial" w:hAnsi="Arial" w:cs="Arial"/>
                          <w:sz w:val="24"/>
                          <w:szCs w:val="24"/>
                        </w:rPr>
                        <w:t>33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C. Kendor Gregorio Mac</w:t>
                      </w:r>
                      <w:r w:rsidR="00984A44"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as Martínez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Comisión </w:t>
                      </w:r>
                      <w:r w:rsidR="00B7125F">
                        <w:rPr>
                          <w:rFonts w:ascii="Arial" w:hAnsi="Arial" w:cs="Arial"/>
                          <w:sz w:val="24"/>
                          <w:szCs w:val="24"/>
                        </w:rPr>
                        <w:t>Nacional de Justicia Partidaria del Partido Revolucionario Institucional</w:t>
                      </w:r>
                      <w:r w:rsidR="0067673C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973D76" w:rsidRDefault="00B5147C" w:rsidP="00B5147C">
      <w:pPr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E87C65" w:rsidRPr="00973D76" w:rsidRDefault="00E87C65" w:rsidP="00716C01">
      <w:p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0E2D19" w:rsidRPr="00973D76" w:rsidRDefault="000E2D19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45E4F" w:rsidRPr="00973D76" w:rsidRDefault="00845E4F" w:rsidP="0028679B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973D76" w:rsidRDefault="00497720" w:rsidP="00497720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B7125F">
        <w:rPr>
          <w:rFonts w:ascii="Arial" w:eastAsia="Times New Roman" w:hAnsi="Arial" w:cs="Arial"/>
          <w:bCs/>
          <w:sz w:val="24"/>
          <w:szCs w:val="24"/>
          <w:lang w:eastAsia="es-MX"/>
        </w:rPr>
        <w:t>50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B7125F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9D2FD2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diecinueve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, a</w:t>
      </w:r>
      <w:r w:rsidR="00DF0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D66C6A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DF0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973D7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D66C6A" w:rsidRPr="00076E28" w:rsidRDefault="00782016" w:rsidP="00076E28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hAnsi="Arial" w:cs="Arial"/>
          <w:sz w:val="24"/>
          <w:szCs w:val="24"/>
        </w:rPr>
        <w:t xml:space="preserve">Original del </w:t>
      </w:r>
      <w:r w:rsidR="00685630" w:rsidRPr="00973D76">
        <w:rPr>
          <w:rFonts w:ascii="Arial" w:hAnsi="Arial" w:cs="Arial"/>
          <w:sz w:val="24"/>
          <w:szCs w:val="24"/>
        </w:rPr>
        <w:t xml:space="preserve">Escrito de Juicio para la Protección de los Derechos Político-Electorales del Ciudadano, </w:t>
      </w:r>
      <w:r w:rsidR="00D66C6A">
        <w:rPr>
          <w:rFonts w:ascii="Arial" w:hAnsi="Arial" w:cs="Arial"/>
          <w:sz w:val="24"/>
          <w:szCs w:val="24"/>
        </w:rPr>
        <w:t>signado por</w:t>
      </w:r>
      <w:r w:rsidR="00685630" w:rsidRPr="00973D76">
        <w:rPr>
          <w:rFonts w:ascii="Arial" w:hAnsi="Arial" w:cs="Arial"/>
          <w:sz w:val="24"/>
          <w:szCs w:val="24"/>
        </w:rPr>
        <w:t xml:space="preserve"> el C. Kendor Gregorio Mac</w:t>
      </w:r>
      <w:r w:rsidR="00984A44">
        <w:rPr>
          <w:rFonts w:ascii="Arial" w:hAnsi="Arial" w:cs="Arial"/>
          <w:sz w:val="24"/>
          <w:szCs w:val="24"/>
        </w:rPr>
        <w:t>í</w:t>
      </w:r>
      <w:r w:rsidR="00685630" w:rsidRPr="00973D76">
        <w:rPr>
          <w:rFonts w:ascii="Arial" w:hAnsi="Arial" w:cs="Arial"/>
          <w:sz w:val="24"/>
          <w:szCs w:val="24"/>
        </w:rPr>
        <w:t xml:space="preserve">as Martínez, </w:t>
      </w:r>
      <w:r w:rsidR="00D66C6A">
        <w:rPr>
          <w:rFonts w:ascii="Arial" w:hAnsi="Arial" w:cs="Arial"/>
          <w:sz w:val="24"/>
          <w:szCs w:val="24"/>
        </w:rPr>
        <w:t>con acuse de recibido por parte de la Comisión Nacional de Justicia Partidaria del PRI, con fecha nueve de abril</w:t>
      </w:r>
      <w:r w:rsidR="00685630" w:rsidRPr="00973D76">
        <w:rPr>
          <w:rFonts w:ascii="Arial" w:hAnsi="Arial" w:cs="Arial"/>
          <w:sz w:val="24"/>
          <w:szCs w:val="24"/>
        </w:rPr>
        <w:t xml:space="preserve"> </w:t>
      </w:r>
      <w:r w:rsidR="00D66C6A">
        <w:rPr>
          <w:rFonts w:ascii="Arial" w:hAnsi="Arial" w:cs="Arial"/>
          <w:sz w:val="24"/>
          <w:szCs w:val="24"/>
        </w:rPr>
        <w:t>de dos mil diecinueve</w:t>
      </w:r>
      <w:r w:rsidR="005756D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consistente en </w:t>
      </w:r>
      <w:r w:rsidR="0068563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once</w:t>
      </w:r>
      <w:r w:rsidR="005756D0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hojas útiles por uno de sus lados;</w:t>
      </w:r>
    </w:p>
    <w:p w:rsidR="00497720" w:rsidRPr="00973D76" w:rsidRDefault="00497720" w:rsidP="004977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73D76">
        <w:rPr>
          <w:rFonts w:ascii="Arial" w:hAnsi="Arial" w:cs="Arial"/>
          <w:sz w:val="24"/>
          <w:szCs w:val="24"/>
        </w:rPr>
        <w:t xml:space="preserve">Aguascalientes, Aguascalientes, a </w:t>
      </w:r>
      <w:r w:rsidR="00D66C6A">
        <w:rPr>
          <w:rFonts w:ascii="Arial" w:hAnsi="Arial" w:cs="Arial"/>
          <w:sz w:val="24"/>
          <w:szCs w:val="24"/>
        </w:rPr>
        <w:t>nueve</w:t>
      </w:r>
      <w:r w:rsidR="00A80B20" w:rsidRPr="00973D76">
        <w:rPr>
          <w:rFonts w:ascii="Arial" w:hAnsi="Arial" w:cs="Arial"/>
          <w:sz w:val="24"/>
          <w:szCs w:val="24"/>
        </w:rPr>
        <w:t xml:space="preserve"> de </w:t>
      </w:r>
      <w:r w:rsidR="00D66C6A">
        <w:rPr>
          <w:rFonts w:ascii="Arial" w:hAnsi="Arial" w:cs="Arial"/>
          <w:sz w:val="24"/>
          <w:szCs w:val="24"/>
        </w:rPr>
        <w:t>abril</w:t>
      </w:r>
      <w:r w:rsidRPr="00973D76">
        <w:rPr>
          <w:rFonts w:ascii="Arial" w:hAnsi="Arial" w:cs="Arial"/>
          <w:sz w:val="24"/>
          <w:szCs w:val="24"/>
        </w:rPr>
        <w:t xml:space="preserve"> de dos mil diecinueve. </w:t>
      </w:r>
    </w:p>
    <w:p w:rsidR="00497720" w:rsidRPr="00973D76" w:rsidRDefault="00493231" w:rsidP="00497720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973D76">
        <w:rPr>
          <w:rFonts w:ascii="Arial" w:hAnsi="Arial" w:cs="Arial"/>
          <w:sz w:val="24"/>
          <w:szCs w:val="24"/>
        </w:rPr>
        <w:lastRenderedPageBreak/>
        <w:t>Vista la cuenta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973D7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973D7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973D7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973D76" w:rsidRDefault="00493231" w:rsidP="00497720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973D76" w:rsidRDefault="00D13046" w:rsidP="00D13046">
      <w:pPr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D66C6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33</w:t>
      </w:r>
      <w:r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3E50F7" w:rsidRDefault="00D13046" w:rsidP="003E50F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3E50F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de inmediato a</w:t>
      </w:r>
      <w:r w:rsid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3E50F7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D66C6A">
        <w:rPr>
          <w:rFonts w:ascii="Arial" w:hAnsi="Arial" w:cs="Arial"/>
          <w:sz w:val="24"/>
          <w:szCs w:val="24"/>
        </w:rPr>
        <w:t>Comisión Nacional de Justicia Partidaria del PRI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3E50F7" w:rsidRPr="003E50F7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 </w:t>
      </w:r>
      <w:r w:rsidR="003E50F7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Default="003E50F7" w:rsidP="0067673C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3E50F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3E50F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9B7478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076E28" w:rsidRPr="00076E28" w:rsidRDefault="00076E28" w:rsidP="00076E2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D66C6A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viso de presentación del medio de impugnación</w:t>
      </w:r>
      <w:r w:rsidR="004D4AEE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</w:p>
    <w:p w:rsidR="00076E28" w:rsidRPr="00076E28" w:rsidRDefault="00076E28" w:rsidP="00076E2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M</w:t>
      </w:r>
      <w:r w:rsidR="004D4AEE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edio de impugnación presentado por el promovente </w:t>
      </w:r>
      <w:r w:rsidR="004D4AEE" w:rsidRPr="00076E28">
        <w:rPr>
          <w:rFonts w:ascii="Arial" w:hAnsi="Arial" w:cs="Arial"/>
          <w:sz w:val="24"/>
          <w:szCs w:val="24"/>
        </w:rPr>
        <w:t>Kendor Gregorio</w:t>
      </w:r>
      <w:r>
        <w:rPr>
          <w:rFonts w:ascii="Arial" w:hAnsi="Arial" w:cs="Arial"/>
          <w:sz w:val="24"/>
          <w:szCs w:val="24"/>
        </w:rPr>
        <w:t xml:space="preserve"> </w:t>
      </w:r>
      <w:r w:rsidR="004D4AEE" w:rsidRPr="00076E28">
        <w:rPr>
          <w:rFonts w:ascii="Arial" w:hAnsi="Arial" w:cs="Arial"/>
          <w:sz w:val="24"/>
          <w:szCs w:val="24"/>
        </w:rPr>
        <w:t>Macías Martínez</w:t>
      </w:r>
      <w:r w:rsidR="004D4AEE" w:rsidRPr="00076E28">
        <w:rPr>
          <w:rFonts w:ascii="Arial" w:hAnsi="Arial" w:cs="Arial"/>
          <w:sz w:val="24"/>
          <w:szCs w:val="24"/>
        </w:rPr>
        <w:t>;</w:t>
      </w:r>
    </w:p>
    <w:p w:rsidR="0067673C" w:rsidRPr="00076E28" w:rsidRDefault="004D4AEE" w:rsidP="00076E2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interesados, </w:t>
      </w:r>
      <w:r w:rsidR="00D66C6A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toda vez que del documento que obra en los autos del</w:t>
      </w:r>
      <w:r w:rsid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D66C6A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present</w:t>
      </w: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e</w:t>
      </w:r>
      <w:r w:rsidR="00D66C6A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medio se desprende que lo recibió esa autoridad señalada</w:t>
      </w:r>
      <w:r w:rsid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D66C6A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como responsable el día de nueve de abril de los corrientes, a las once horas con cuarenta y seis minutos, </w:t>
      </w:r>
      <w:r w:rsidR="003E50F7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enzara</w:t>
      </w:r>
      <w:r w:rsidR="003E50F7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 correr el de setenta y dos horas, </w:t>
      </w:r>
      <w:r w:rsid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y </w:t>
      </w:r>
      <w:r w:rsidR="003E50F7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que deb</w:t>
      </w: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ió</w:t>
      </w:r>
      <w:r w:rsidR="003E50F7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haber </w:t>
      </w:r>
      <w:r w:rsidR="003E50F7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fija</w:t>
      </w: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do</w:t>
      </w:r>
      <w:r w:rsidR="003E50F7"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los estrados respectivos, a efecto de que los terceros interesados puedan comparecer a hacer valer lo que a su derecho convenga.</w:t>
      </w:r>
    </w:p>
    <w:p w:rsidR="00076E28" w:rsidRPr="00076E28" w:rsidRDefault="00076E28" w:rsidP="00076E28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076E28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722519" w:rsidRDefault="0067673C" w:rsidP="0067673C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II.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722519" w:rsidRDefault="0067673C" w:rsidP="0067673C">
      <w:pPr>
        <w:spacing w:after="0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7673C" w:rsidRPr="00722519" w:rsidRDefault="0067673C" w:rsidP="0067673C">
      <w:pPr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4B57CF" w:rsidRDefault="00076E28" w:rsidP="004B57CF">
      <w:pPr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EB6FF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722519" w:rsidRDefault="0067673C" w:rsidP="0067673C">
      <w:pPr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es señaladas com</w:t>
      </w:r>
      <w:bookmarkStart w:id="1" w:name="_GoBack"/>
      <w:bookmarkEnd w:id="1"/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 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076E28" w:rsidRDefault="00076E28" w:rsidP="003E50F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67673C"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Apercibimiento. </w:t>
      </w:r>
      <w:r w:rsidR="0067673C"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72251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7225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973D76" w:rsidRDefault="00D13046" w:rsidP="003E50F7">
      <w:pPr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del conocimiento a través de los Estrados físicos y electrónicos de este Tribunal.</w:t>
      </w:r>
    </w:p>
    <w:p w:rsidR="00D13046" w:rsidRPr="00973D76" w:rsidRDefault="00D13046" w:rsidP="00D13046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973D7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973D76" w:rsidRDefault="00D13046" w:rsidP="00D13046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973D76" w:rsidRDefault="00973D76" w:rsidP="00D13046">
      <w:pPr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973D76" w:rsidRDefault="00497720" w:rsidP="004977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973D76" w:rsidRDefault="0049772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973D76" w:rsidRDefault="00497720" w:rsidP="00497720">
      <w:pPr>
        <w:spacing w:after="0" w:line="24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973D76" w:rsidRDefault="0049772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973D76" w:rsidRDefault="0049772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973D76" w:rsidRDefault="00973D76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973D76" w:rsidRDefault="00973D76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973D76" w:rsidRDefault="00DA2980" w:rsidP="0049772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973D76" w:rsidRDefault="00497720" w:rsidP="00497720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973D76" w:rsidRDefault="00DA2980" w:rsidP="00497720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973D76" w:rsidRDefault="00497720" w:rsidP="00845E4F">
      <w:pPr>
        <w:spacing w:after="0" w:line="240" w:lineRule="auto"/>
        <w:ind w:left="284"/>
        <w:jc w:val="right"/>
        <w:rPr>
          <w:sz w:val="24"/>
          <w:szCs w:val="24"/>
        </w:rPr>
      </w:pPr>
      <w:r w:rsidRPr="00973D7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973D7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076E28">
    <w:pPr>
      <w:pStyle w:val="Piedepgina"/>
      <w:jc w:val="right"/>
    </w:pPr>
  </w:p>
  <w:p w:rsidR="00F71849" w:rsidRDefault="00076E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76E28"/>
    <w:rsid w:val="000817D9"/>
    <w:rsid w:val="00090F2E"/>
    <w:rsid w:val="00091705"/>
    <w:rsid w:val="000A64C2"/>
    <w:rsid w:val="000E2D19"/>
    <w:rsid w:val="00155C10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E50F7"/>
    <w:rsid w:val="00426C3E"/>
    <w:rsid w:val="00466D6A"/>
    <w:rsid w:val="00493231"/>
    <w:rsid w:val="00497720"/>
    <w:rsid w:val="004A291B"/>
    <w:rsid w:val="004B57CF"/>
    <w:rsid w:val="004D4AEE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B7A8E"/>
    <w:rsid w:val="006C6472"/>
    <w:rsid w:val="006C7181"/>
    <w:rsid w:val="006D5128"/>
    <w:rsid w:val="00702F75"/>
    <w:rsid w:val="00716C01"/>
    <w:rsid w:val="00722519"/>
    <w:rsid w:val="007367AC"/>
    <w:rsid w:val="007729BD"/>
    <w:rsid w:val="00782016"/>
    <w:rsid w:val="00782B8F"/>
    <w:rsid w:val="007E5C80"/>
    <w:rsid w:val="007E71DD"/>
    <w:rsid w:val="00840142"/>
    <w:rsid w:val="00845E4F"/>
    <w:rsid w:val="00854D24"/>
    <w:rsid w:val="008C4385"/>
    <w:rsid w:val="00911B3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E65DA"/>
    <w:rsid w:val="00C5594E"/>
    <w:rsid w:val="00C97FCA"/>
    <w:rsid w:val="00CD3479"/>
    <w:rsid w:val="00D13046"/>
    <w:rsid w:val="00D32AAC"/>
    <w:rsid w:val="00D56EFB"/>
    <w:rsid w:val="00D66C6A"/>
    <w:rsid w:val="00D80F82"/>
    <w:rsid w:val="00D916B7"/>
    <w:rsid w:val="00DA2980"/>
    <w:rsid w:val="00DF0C68"/>
    <w:rsid w:val="00E44495"/>
    <w:rsid w:val="00E87C65"/>
    <w:rsid w:val="00E9474E"/>
    <w:rsid w:val="00E96762"/>
    <w:rsid w:val="00EB6FFF"/>
    <w:rsid w:val="00F37E67"/>
    <w:rsid w:val="00F63C79"/>
    <w:rsid w:val="00F658EC"/>
    <w:rsid w:val="00FA30F3"/>
    <w:rsid w:val="00FA5F85"/>
    <w:rsid w:val="00FB56C0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E3525D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0922-35B3-47D3-8666-835967D3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jose castro vieyra</cp:lastModifiedBy>
  <cp:revision>3</cp:revision>
  <cp:lastPrinted>2019-03-26T18:30:00Z</cp:lastPrinted>
  <dcterms:created xsi:type="dcterms:W3CDTF">2019-04-10T04:36:00Z</dcterms:created>
  <dcterms:modified xsi:type="dcterms:W3CDTF">2019-04-10T05:05:00Z</dcterms:modified>
</cp:coreProperties>
</file>